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5FE0" w14:textId="77777777" w:rsidR="004F7110" w:rsidRPr="00A5411E" w:rsidRDefault="5917A898" w:rsidP="004F7110">
      <w:pPr>
        <w:rPr>
          <w:b/>
        </w:rPr>
      </w:pPr>
      <w:bookmarkStart w:id="0" w:name="_GoBack"/>
      <w:r w:rsidRPr="00A5411E">
        <w:rPr>
          <w:b/>
        </w:rPr>
        <w:t xml:space="preserve">Naczynie </w:t>
      </w:r>
    </w:p>
    <w:p w14:paraId="5BFCE421" w14:textId="496FAC27" w:rsidR="5917A898" w:rsidRPr="00A5411E" w:rsidRDefault="5917A898" w:rsidP="5917A898">
      <w:pPr>
        <w:rPr>
          <w:b/>
        </w:rPr>
      </w:pPr>
      <w:r w:rsidRPr="00A5411E">
        <w:rPr>
          <w:b/>
        </w:rPr>
        <w:t>Autor</w:t>
      </w:r>
      <w:r w:rsidR="00652265">
        <w:rPr>
          <w:b/>
        </w:rPr>
        <w:t>stwo nieustalone</w:t>
      </w:r>
    </w:p>
    <w:p w14:paraId="7D6DA235" w14:textId="77777777" w:rsidR="004F7110" w:rsidRPr="00A5411E" w:rsidRDefault="004F7110" w:rsidP="004F7110">
      <w:pPr>
        <w:rPr>
          <w:b/>
        </w:rPr>
      </w:pPr>
      <w:r w:rsidRPr="00A5411E">
        <w:rPr>
          <w:b/>
        </w:rPr>
        <w:t>Syria lub Egipt</w:t>
      </w:r>
    </w:p>
    <w:p w14:paraId="5E96C82D" w14:textId="2E52CADD" w:rsidR="004F7110" w:rsidRPr="005245B7" w:rsidRDefault="005245B7" w:rsidP="004F7110">
      <w:pPr>
        <w:rPr>
          <w:b/>
        </w:rPr>
      </w:pPr>
      <w:r w:rsidRPr="005245B7">
        <w:rPr>
          <w:b/>
        </w:rPr>
        <w:t>Przełom dziewiętnastego i dwudziestego wieku</w:t>
      </w:r>
    </w:p>
    <w:p w14:paraId="45C5B405" w14:textId="6ADB2742" w:rsidR="0046390A" w:rsidRPr="005245B7" w:rsidRDefault="00E3681A" w:rsidP="004F7110">
      <w:pPr>
        <w:rPr>
          <w:b/>
        </w:rPr>
      </w:pPr>
      <w:r>
        <w:rPr>
          <w:b/>
        </w:rPr>
        <w:t>Wysoko</w:t>
      </w:r>
      <w:r w:rsidR="005245B7" w:rsidRPr="005245B7">
        <w:rPr>
          <w:b/>
        </w:rPr>
        <w:t xml:space="preserve">ść osiem i pół centymetra, </w:t>
      </w:r>
      <w:r>
        <w:rPr>
          <w:b/>
        </w:rPr>
        <w:t>średnica</w:t>
      </w:r>
      <w:r w:rsidR="005245B7" w:rsidRPr="005245B7">
        <w:rPr>
          <w:b/>
        </w:rPr>
        <w:t xml:space="preserve"> dziesięć i pół centymetra</w:t>
      </w:r>
      <w:r w:rsidR="00871B25" w:rsidRPr="005245B7">
        <w:rPr>
          <w:b/>
        </w:rPr>
        <w:t xml:space="preserve"> </w:t>
      </w:r>
    </w:p>
    <w:p w14:paraId="227EE940" w14:textId="657E9FCF" w:rsidR="004F7110" w:rsidRPr="005245B7" w:rsidRDefault="5917A898" w:rsidP="004F7110">
      <w:pPr>
        <w:rPr>
          <w:b/>
        </w:rPr>
      </w:pPr>
      <w:r w:rsidRPr="005245B7">
        <w:rPr>
          <w:b/>
        </w:rPr>
        <w:t>mosiądz, miedź, biały metal, inkrustacja</w:t>
      </w:r>
    </w:p>
    <w:p w14:paraId="5EC29396" w14:textId="74154945" w:rsidR="5917A898" w:rsidRPr="005245B7" w:rsidRDefault="5917A898" w:rsidP="5917A898">
      <w:pPr>
        <w:rPr>
          <w:b/>
        </w:rPr>
      </w:pPr>
      <w:r w:rsidRPr="005245B7">
        <w:rPr>
          <w:b/>
        </w:rPr>
        <w:t>Znajduje się w zbiorach Muzeum Azji i Pacyfiku</w:t>
      </w:r>
    </w:p>
    <w:p w14:paraId="672A6659" w14:textId="77777777" w:rsidR="004F7110" w:rsidRDefault="004F7110" w:rsidP="004F7110"/>
    <w:p w14:paraId="6E497221" w14:textId="229D8EF2" w:rsidR="004F7110" w:rsidRDefault="004F7110" w:rsidP="004F7110">
      <w:r>
        <w:t xml:space="preserve">Mosiężne naczynie </w:t>
      </w:r>
      <w:r w:rsidR="00E3681A">
        <w:t>p</w:t>
      </w:r>
      <w:r>
        <w:t xml:space="preserve">rzypomina </w:t>
      </w:r>
      <w:r w:rsidR="00E47F4F">
        <w:t xml:space="preserve">niewielkie </w:t>
      </w:r>
      <w:r>
        <w:t>wiaderko</w:t>
      </w:r>
      <w:r w:rsidR="002D598E">
        <w:t xml:space="preserve"> w kształcie </w:t>
      </w:r>
      <w:r w:rsidR="00CF63F7">
        <w:t>cylindra</w:t>
      </w:r>
      <w:r>
        <w:t xml:space="preserve">. </w:t>
      </w:r>
      <w:r w:rsidR="00892431">
        <w:t xml:space="preserve">Posiada </w:t>
      </w:r>
      <w:r w:rsidR="00892431" w:rsidRPr="00AA308A">
        <w:t>ruchomą, wygiętą w łuk rączkę</w:t>
      </w:r>
      <w:r w:rsidR="00892431">
        <w:t>.</w:t>
      </w:r>
      <w:r w:rsidR="00892431" w:rsidRPr="00AA308A">
        <w:t xml:space="preserve"> </w:t>
      </w:r>
      <w:r w:rsidR="00892431">
        <w:t xml:space="preserve">Została </w:t>
      </w:r>
      <w:r w:rsidR="00892431" w:rsidRPr="00AA308A">
        <w:t>umocowan</w:t>
      </w:r>
      <w:r w:rsidR="00892431">
        <w:t>a</w:t>
      </w:r>
      <w:r w:rsidR="00892431" w:rsidRPr="00AA308A">
        <w:t xml:space="preserve"> </w:t>
      </w:r>
      <w:r w:rsidR="00892431">
        <w:t xml:space="preserve">z dwóch stron </w:t>
      </w:r>
      <w:r w:rsidR="00892431" w:rsidRPr="00AA308A">
        <w:t>na przylutowanych uszkach.</w:t>
      </w:r>
      <w:r w:rsidR="00892431">
        <w:t xml:space="preserve"> S</w:t>
      </w:r>
      <w:r w:rsidR="00892431" w:rsidRPr="00AA308A">
        <w:t>płaszczon</w:t>
      </w:r>
      <w:r w:rsidR="00892431">
        <w:t>a</w:t>
      </w:r>
      <w:r w:rsidR="00892431" w:rsidRPr="00AA308A">
        <w:t>, około jednocentymetrow</w:t>
      </w:r>
      <w:r w:rsidR="00892431">
        <w:t>a</w:t>
      </w:r>
      <w:r w:rsidR="00892431" w:rsidRPr="00AA308A">
        <w:t xml:space="preserve"> krawędź </w:t>
      </w:r>
      <w:r w:rsidR="00892431">
        <w:t xml:space="preserve">naczynia jest </w:t>
      </w:r>
      <w:r w:rsidR="00892431" w:rsidRPr="00AA308A">
        <w:t>wywinięt</w:t>
      </w:r>
      <w:r w:rsidR="00892431">
        <w:t>a</w:t>
      </w:r>
      <w:r w:rsidR="00892431" w:rsidRPr="00AA308A">
        <w:t xml:space="preserve"> na zewnątrz</w:t>
      </w:r>
      <w:r w:rsidR="00892431">
        <w:t xml:space="preserve">. </w:t>
      </w:r>
      <w:r>
        <w:t>Dno jest płaskie z wywierconymi dwoma niewielkimi otworami. Naczynie jest inkrustowane miedzią i białym metalem</w:t>
      </w:r>
      <w:r w:rsidR="00F9618A">
        <w:t>.</w:t>
      </w:r>
      <w:r>
        <w:t xml:space="preserve"> </w:t>
      </w:r>
      <w:r w:rsidR="00F9618A">
        <w:t>W</w:t>
      </w:r>
      <w:r>
        <w:t xml:space="preserve">klęsłe fragmenty wzoru </w:t>
      </w:r>
      <w:r w:rsidR="00F9618A">
        <w:t xml:space="preserve">wypełniono </w:t>
      </w:r>
      <w:r>
        <w:t>niellem, czyli ciemną pastą, która tworzy kontrastowy deseń. Dekoracja dzieli zewnętrzną część obiektu na trzy poziome pasy, gdzie środkowy jest najszerszy, wypełniony medalionami. Dwa naprzeciwległe medaliony ozdobione są graficznym, stylizowanym wzorem dwóch ptaków</w:t>
      </w:r>
      <w:r w:rsidR="00B5283E">
        <w:t>.</w:t>
      </w:r>
      <w:r>
        <w:t xml:space="preserve"> </w:t>
      </w:r>
      <w:r w:rsidR="00B5283E">
        <w:t>Zostały ukazane z profilu</w:t>
      </w:r>
      <w:r w:rsidR="00B5283E" w:rsidRPr="00AA308A">
        <w:t>, grzbietami do siebie.</w:t>
      </w:r>
      <w:r>
        <w:t xml:space="preserve"> Po bokach tych dwóch medalionów</w:t>
      </w:r>
      <w:r w:rsidR="00B5283E">
        <w:t xml:space="preserve">, symetrycznie umieszczono </w:t>
      </w:r>
      <w:r>
        <w:t xml:space="preserve">po dwa mniejsze </w:t>
      </w:r>
      <w:r w:rsidR="00B5283E">
        <w:t xml:space="preserve">medaliony. Są </w:t>
      </w:r>
      <w:r w:rsidR="00B5283E" w:rsidRPr="00AA308A">
        <w:t>inkrustowane miedzią</w:t>
      </w:r>
      <w:r w:rsidR="00B5283E">
        <w:t xml:space="preserve">. Z czterech stron </w:t>
      </w:r>
      <w:r w:rsidR="00B5283E" w:rsidRPr="00AA308A">
        <w:t>ozdobion</w:t>
      </w:r>
      <w:r w:rsidR="00B5283E">
        <w:t>o</w:t>
      </w:r>
      <w:r w:rsidR="00B5283E" w:rsidRPr="00AA308A">
        <w:t xml:space="preserve"> </w:t>
      </w:r>
      <w:r w:rsidR="00B5283E">
        <w:t xml:space="preserve">je </w:t>
      </w:r>
      <w:r w:rsidR="00B5283E" w:rsidRPr="00AA308A">
        <w:t>motywem trójliścia</w:t>
      </w:r>
      <w:r w:rsidR="00B5283E">
        <w:t>.</w:t>
      </w:r>
      <w:r>
        <w:t xml:space="preserve"> </w:t>
      </w:r>
      <w:r w:rsidR="00B5283E">
        <w:t xml:space="preserve">Po </w:t>
      </w:r>
      <w:r>
        <w:t>środk</w:t>
      </w:r>
      <w:r w:rsidR="00B5283E">
        <w:t>u</w:t>
      </w:r>
      <w:r>
        <w:t xml:space="preserve"> mniejszych medalionów nałożony jest guz z białego metalu. Pomiędzy medalionami, poprzecznie, umieszczone są inskrypcje w piśmie arabskim  inkrustowane znów białym metalem. Inskrypcje otaczają też krawędź oraz dwa węższe</w:t>
      </w:r>
      <w:r w:rsidR="00B5283E">
        <w:t>,</w:t>
      </w:r>
      <w:r>
        <w:t xml:space="preserve"> skrajne pasy naczynia</w:t>
      </w:r>
      <w:r w:rsidR="00B5283E">
        <w:t>.</w:t>
      </w:r>
      <w:r>
        <w:t xml:space="preserve"> </w:t>
      </w:r>
      <w:r w:rsidR="00B5283E">
        <w:t>I</w:t>
      </w:r>
      <w:r>
        <w:t xml:space="preserve">nskrypcje przy dnie są dużo drobniejsze niż te znajdujące się przy </w:t>
      </w:r>
      <w:r w:rsidR="000F388A">
        <w:t>górnej krawędzi</w:t>
      </w:r>
      <w:r>
        <w:t xml:space="preserve"> naczynia. </w:t>
      </w:r>
      <w:r w:rsidR="00D46E7C">
        <w:t>Wywinięty brzeg naczynia</w:t>
      </w:r>
      <w:r>
        <w:t xml:space="preserve"> nie jest zdobion</w:t>
      </w:r>
      <w:r w:rsidR="00D46E7C">
        <w:t>y</w:t>
      </w:r>
      <w:r>
        <w:t>, ma natomiast drobne ubytki i przebarwienia. Rączka w sposób regularny ozdobiona jest licznymi wgłębieniami</w:t>
      </w:r>
      <w:r w:rsidR="0076186B">
        <w:t>.</w:t>
      </w:r>
      <w:r>
        <w:t xml:space="preserve"> </w:t>
      </w:r>
      <w:r w:rsidR="0076186B">
        <w:t xml:space="preserve">Niektóre wypełnione są </w:t>
      </w:r>
      <w:r>
        <w:t xml:space="preserve">białym metalem. </w:t>
      </w:r>
    </w:p>
    <w:p w14:paraId="0F531BCB" w14:textId="4BF9249A" w:rsidR="004F7110" w:rsidRDefault="004F7110" w:rsidP="004F7110">
      <w:r>
        <w:t xml:space="preserve">Ornamenty geometryczne, roślinne i kaligraficzne </w:t>
      </w:r>
      <w:r w:rsidR="00CF63F7">
        <w:t xml:space="preserve">odgrywały </w:t>
      </w:r>
      <w:r>
        <w:t xml:space="preserve">ważną rolę w rozwoju sztuki arabskiej, ze względu na panujący w krajach islamskich zakaz przedstawiania istot żywych. Zakaz miał powstrzymywać nowych wyznawców przed oddawaniem czci innym bogom. </w:t>
      </w:r>
      <w:r w:rsidR="00CF63F7">
        <w:t xml:space="preserve">Jak </w:t>
      </w:r>
      <w:r>
        <w:t xml:space="preserve">jednak widać na przykładzie opisanego przedmiotu, twórcy obchodzili czasem ten zakaz, wpisując postaci zwierząt w ornamenty obiektu. </w:t>
      </w:r>
    </w:p>
    <w:bookmarkEnd w:id="0"/>
    <w:p w14:paraId="0A37501D" w14:textId="77777777" w:rsidR="0010534F" w:rsidRDefault="0010534F"/>
    <w:sectPr w:rsidR="00105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10"/>
    <w:rsid w:val="00065347"/>
    <w:rsid w:val="000B7398"/>
    <w:rsid w:val="000F388A"/>
    <w:rsid w:val="0010534F"/>
    <w:rsid w:val="002D598E"/>
    <w:rsid w:val="0046390A"/>
    <w:rsid w:val="004F7110"/>
    <w:rsid w:val="005245B7"/>
    <w:rsid w:val="00652265"/>
    <w:rsid w:val="0076186B"/>
    <w:rsid w:val="00871B25"/>
    <w:rsid w:val="00892431"/>
    <w:rsid w:val="00A5411E"/>
    <w:rsid w:val="00AD0FD3"/>
    <w:rsid w:val="00AE2A31"/>
    <w:rsid w:val="00B5283E"/>
    <w:rsid w:val="00CF63F7"/>
    <w:rsid w:val="00D46E7C"/>
    <w:rsid w:val="00E3681A"/>
    <w:rsid w:val="00E47F4F"/>
    <w:rsid w:val="00F9618A"/>
    <w:rsid w:val="5917A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81E7"/>
  <w15:chartTrackingRefBased/>
  <w15:docId w15:val="{6F4AF2B4-C031-4AF4-9C26-7443E65D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E47F4F"/>
    <w:pPr>
      <w:spacing w:after="0" w:line="240" w:lineRule="auto"/>
    </w:pPr>
  </w:style>
  <w:style w:type="character" w:styleId="Odwoaniedokomentarza">
    <w:name w:val="annotation reference"/>
    <w:basedOn w:val="Domylnaczcionkaakapitu"/>
    <w:uiPriority w:val="99"/>
    <w:semiHidden/>
    <w:unhideWhenUsed/>
    <w:rsid w:val="00AD0FD3"/>
    <w:rPr>
      <w:sz w:val="16"/>
      <w:szCs w:val="16"/>
    </w:rPr>
  </w:style>
  <w:style w:type="paragraph" w:styleId="Tekstkomentarza">
    <w:name w:val="annotation text"/>
    <w:basedOn w:val="Normalny"/>
    <w:link w:val="TekstkomentarzaZnak"/>
    <w:uiPriority w:val="99"/>
    <w:unhideWhenUsed/>
    <w:rsid w:val="00AD0FD3"/>
    <w:pPr>
      <w:spacing w:line="240" w:lineRule="auto"/>
    </w:pPr>
    <w:rPr>
      <w:sz w:val="20"/>
      <w:szCs w:val="20"/>
    </w:rPr>
  </w:style>
  <w:style w:type="character" w:customStyle="1" w:styleId="TekstkomentarzaZnak">
    <w:name w:val="Tekst komentarza Znak"/>
    <w:basedOn w:val="Domylnaczcionkaakapitu"/>
    <w:link w:val="Tekstkomentarza"/>
    <w:uiPriority w:val="99"/>
    <w:rsid w:val="00AD0FD3"/>
    <w:rPr>
      <w:sz w:val="20"/>
      <w:szCs w:val="20"/>
    </w:rPr>
  </w:style>
  <w:style w:type="paragraph" w:styleId="Tematkomentarza">
    <w:name w:val="annotation subject"/>
    <w:basedOn w:val="Tekstkomentarza"/>
    <w:next w:val="Tekstkomentarza"/>
    <w:link w:val="TematkomentarzaZnak"/>
    <w:uiPriority w:val="99"/>
    <w:semiHidden/>
    <w:unhideWhenUsed/>
    <w:rsid w:val="00AD0FD3"/>
    <w:rPr>
      <w:b/>
      <w:bCs/>
    </w:rPr>
  </w:style>
  <w:style w:type="character" w:customStyle="1" w:styleId="TematkomentarzaZnak">
    <w:name w:val="Temat komentarza Znak"/>
    <w:basedOn w:val="TekstkomentarzaZnak"/>
    <w:link w:val="Tematkomentarza"/>
    <w:uiPriority w:val="99"/>
    <w:semiHidden/>
    <w:rsid w:val="00AD0FD3"/>
    <w:rPr>
      <w:b/>
      <w:bCs/>
      <w:sz w:val="20"/>
      <w:szCs w:val="20"/>
    </w:rPr>
  </w:style>
  <w:style w:type="paragraph" w:styleId="Tekstdymka">
    <w:name w:val="Balloon Text"/>
    <w:basedOn w:val="Normalny"/>
    <w:link w:val="TekstdymkaZnak"/>
    <w:uiPriority w:val="99"/>
    <w:semiHidden/>
    <w:unhideWhenUsed/>
    <w:rsid w:val="000B7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294</Words>
  <Characters>1767</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 Zygmunt</dc:creator>
  <cp:keywords/>
  <dc:description/>
  <cp:lastModifiedBy>Pola Zygmunt</cp:lastModifiedBy>
  <cp:revision>12</cp:revision>
  <dcterms:created xsi:type="dcterms:W3CDTF">2023-03-30T16:52:00Z</dcterms:created>
  <dcterms:modified xsi:type="dcterms:W3CDTF">2023-06-02T13:10:00Z</dcterms:modified>
</cp:coreProperties>
</file>