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24173" w14:textId="12358787" w:rsidR="00843B0D" w:rsidRPr="00A45026" w:rsidRDefault="00843B0D" w:rsidP="00843B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korytarzem, wzdłuż ściany po lewej stronie, znajduje się część wystawy poświęcona kulturze i sztuce Azji Południowo-Zachodniej. Ściany i wydruki wielkoformatowych zdjęć mają kolor brązowy. Natomiast tła gablot, ekran </w:t>
      </w:r>
      <w:r w:rsidR="00AD030C" w:rsidRPr="00A45026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tekstem wprowadzającym czy aplikacja multimedialna </w:t>
      </w:r>
      <w:r w:rsidR="00AD030C" w:rsidRPr="00A45026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kolor zielony.</w:t>
      </w:r>
    </w:p>
    <w:p w14:paraId="0675D0D1" w14:textId="77777777" w:rsidR="00843B0D" w:rsidRPr="00A45026" w:rsidRDefault="00843B0D" w:rsidP="00843B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>Pierwsza z gablot tej części jest poświęcona starożytnym tradycjom regionu. Następna gablota ukazuje stroje i biżuterię krajów arabskich. Dalej, w głębi, jest przedstawiona sztuka perska.</w:t>
      </w:r>
    </w:p>
    <w:p w14:paraId="3FD722DE" w14:textId="77777777" w:rsidR="00843B0D" w:rsidRPr="00A45026" w:rsidRDefault="00843B0D" w:rsidP="00843B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>Na prawo od tej ściany rozciąga się duża przestrzeń, gdzie znajduje się część wystawy poświęcona sztuce i kulturze Azji Centralnej. Ściany w tej strefie są w kolorze ciemnego brązu. Pozostałe elementy, takie jak tła gablot, ekran wprowadzający czy aplikacje, są w kolorze żółtym. </w:t>
      </w:r>
    </w:p>
    <w:p w14:paraId="3B616A67" w14:textId="604373F0" w:rsidR="00843B0D" w:rsidRPr="00A45026" w:rsidRDefault="00843B0D" w:rsidP="00843B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>Jest to bardzo duża przestrzeń</w:t>
      </w:r>
      <w:r w:rsidR="00AD030C"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Dominuje w niej </w:t>
      </w: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żółta k</w:t>
      </w:r>
      <w:r w:rsidR="00A45026" w:rsidRPr="00A45026">
        <w:rPr>
          <w:rFonts w:eastAsia="Times New Roman" w:cstheme="minorHAnsi"/>
          <w:color w:val="000000"/>
          <w:sz w:val="24"/>
          <w:szCs w:val="24"/>
          <w:lang w:eastAsia="pl-PL"/>
        </w:rPr>
        <w:t>onstrukcja z barwionej płyty,</w:t>
      </w:r>
      <w:r w:rsidR="00AD030C"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ustawiona przy jednej ze ścian.</w:t>
      </w: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D030C" w:rsidRPr="00A45026">
        <w:rPr>
          <w:rFonts w:eastAsia="Times New Roman" w:cstheme="minorHAnsi"/>
          <w:color w:val="000000"/>
          <w:sz w:val="24"/>
          <w:szCs w:val="24"/>
          <w:lang w:eastAsia="pl-PL"/>
        </w:rPr>
        <w:t>Swoją formą nawiązuje</w:t>
      </w: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architektury bazarów. Między filarami konstrukcji rozpięte są ażurowe panele tworzące ostrołukowe arkady. Wzór ażurów nawiązuje do ornamentów architektury Azji Centralnej. </w:t>
      </w:r>
    </w:p>
    <w:p w14:paraId="233BBD66" w14:textId="77777777" w:rsidR="00843B0D" w:rsidRPr="00A45026" w:rsidRDefault="00843B0D" w:rsidP="00843B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DDAC93" w14:textId="77777777" w:rsidR="00843B0D" w:rsidRPr="00A45026" w:rsidRDefault="00843B0D" w:rsidP="00843B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>Zwiedzając wystawę przechodzimy pod tymi arkadami. Tam, wzdłuż ściany po lewej stronie, umieszczone są gabloty z obiektami charakterystycznymi dla miast Jedwabnego Szlaku. Po drugiej stronie umieszczony jest prostokątny podest z manekinami prezentującymi stroje typowe dla ich mieszkańców. </w:t>
      </w:r>
    </w:p>
    <w:p w14:paraId="643257EB" w14:textId="47099C64" w:rsidR="00843B0D" w:rsidRPr="00A45026" w:rsidRDefault="00843B0D" w:rsidP="00843B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>Słychać tam dźwięki typowe dla bazaru - nawoływanie kupców zachwalający</w:t>
      </w:r>
      <w:r w:rsidR="00D86C23" w:rsidRPr="00A45026">
        <w:rPr>
          <w:rFonts w:eastAsia="Times New Roman" w:cstheme="minorHAnsi"/>
          <w:color w:val="000000"/>
          <w:sz w:val="24"/>
          <w:szCs w:val="24"/>
          <w:lang w:eastAsia="pl-PL"/>
        </w:rPr>
        <w:t>ch</w:t>
      </w: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swoje towary, gwar miasta czy muezina wzywającego na modlitwę.</w:t>
      </w:r>
    </w:p>
    <w:p w14:paraId="7A63CE60" w14:textId="2F63FCB9" w:rsidR="00843B0D" w:rsidRPr="00A45026" w:rsidRDefault="00843B0D" w:rsidP="00843B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 prawej stronie sali, patrząc od strony wejścia na wystawę, znajduje się ciąg gablot ze strojami typowymi dla grup etnicznych </w:t>
      </w:r>
      <w:r w:rsidR="00B5281B"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zamieszkujących </w:t>
      </w: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>poza miastami i wiodących głównie koczowniczy tryb życia. Słychać tam muzykę instrumentalną, typową dla tego regionu.</w:t>
      </w:r>
    </w:p>
    <w:p w14:paraId="61F12A51" w14:textId="37EB49E6" w:rsidR="00843B0D" w:rsidRPr="00A45026" w:rsidRDefault="00843B0D" w:rsidP="00843B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>W ścianie po prawej stronie jest mała wnęka. Znajduje się tam strefa poświęcona Nuristanowi</w:t>
      </w:r>
      <w:r w:rsidR="00B5281B"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B5281B" w:rsidRPr="00A45026">
        <w:rPr>
          <w:rFonts w:cstheme="minorHAnsi"/>
          <w:sz w:val="24"/>
          <w:szCs w:val="24"/>
        </w:rPr>
        <w:t>Jest to obszar leżący w wysokich górach na pograniczu Afganistanu i Pakistanu.</w:t>
      </w: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5281B" w:rsidRPr="00A45026">
        <w:rPr>
          <w:rFonts w:eastAsia="Times New Roman" w:cstheme="minorHAnsi"/>
          <w:color w:val="000000"/>
          <w:sz w:val="24"/>
          <w:szCs w:val="24"/>
          <w:lang w:eastAsia="pl-PL"/>
        </w:rPr>
        <w:t>We wnęce w</w:t>
      </w: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>yświetlan</w:t>
      </w:r>
      <w:r w:rsidR="00B5281B" w:rsidRPr="00A45026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A450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film z nagraniem meczu buzkaszi - sportu konnego z tego regionu. W tle słychać dźwięki charakterystyczne dla tego typu rozrywek. </w:t>
      </w:r>
    </w:p>
    <w:bookmarkEnd w:id="0"/>
    <w:p w14:paraId="7BF13F90" w14:textId="77777777" w:rsidR="00843B0D" w:rsidRPr="00A45026" w:rsidRDefault="00843B0D" w:rsidP="002A0840">
      <w:pPr>
        <w:rPr>
          <w:rFonts w:cstheme="minorHAnsi"/>
          <w:sz w:val="24"/>
          <w:szCs w:val="24"/>
        </w:rPr>
      </w:pPr>
    </w:p>
    <w:sectPr w:rsidR="00843B0D" w:rsidRPr="00A4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69C6" w16cex:dateUtc="2023-04-19T11:23:00Z"/>
  <w16cex:commentExtensible w16cex:durableId="27EA6A36" w16cex:dateUtc="2023-04-19T11:25:00Z"/>
  <w16cex:commentExtensible w16cex:durableId="27EA6CF4" w16cex:dateUtc="2023-04-19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F4388A" w16cid:durableId="27EA69C6"/>
  <w16cid:commentId w16cid:paraId="06084CEF" w16cid:durableId="27EA6A36"/>
  <w16cid:commentId w16cid:paraId="06C12E4A" w16cid:durableId="27EA6C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40"/>
    <w:rsid w:val="000F28B2"/>
    <w:rsid w:val="002A0840"/>
    <w:rsid w:val="00843B0D"/>
    <w:rsid w:val="00A45026"/>
    <w:rsid w:val="00AD030C"/>
    <w:rsid w:val="00B5281B"/>
    <w:rsid w:val="00D86C23"/>
    <w:rsid w:val="00E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14FB"/>
  <w15:chartTrackingRefBased/>
  <w15:docId w15:val="{9BF81A5C-5901-4395-AF6C-E5094FB8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D03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6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6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6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 Zygmunt</dc:creator>
  <cp:keywords/>
  <dc:description/>
  <cp:lastModifiedBy>Pola Zygmunt</cp:lastModifiedBy>
  <cp:revision>5</cp:revision>
  <dcterms:created xsi:type="dcterms:W3CDTF">2023-04-12T15:41:00Z</dcterms:created>
  <dcterms:modified xsi:type="dcterms:W3CDTF">2023-06-02T12:44:00Z</dcterms:modified>
</cp:coreProperties>
</file>